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textAlignment w:val="cente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w:t>
      </w:r>
    </w:p>
    <w:p>
      <w:pPr>
        <w:spacing w:line="520" w:lineRule="exact"/>
        <w:jc w:val="center"/>
        <w:textAlignment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年湖北省社会主义学院</w:t>
      </w:r>
      <w:r>
        <w:rPr>
          <w:rFonts w:hint="eastAsia" w:ascii="方正小标宋简体" w:hAnsi="方正小标宋简体" w:eastAsia="方正小标宋简体" w:cs="方正小标宋简体"/>
          <w:b w:val="0"/>
          <w:bCs/>
          <w:sz w:val="44"/>
          <w:szCs w:val="44"/>
          <w:lang w:eastAsia="zh-CN"/>
        </w:rPr>
        <w:t>统一战线智库招标课题立项</w:t>
      </w:r>
      <w:r>
        <w:rPr>
          <w:rFonts w:hint="eastAsia" w:ascii="方正小标宋简体" w:hAnsi="方正小标宋简体" w:eastAsia="方正小标宋简体" w:cs="方正小标宋简体"/>
          <w:b w:val="0"/>
          <w:bCs/>
          <w:sz w:val="44"/>
          <w:szCs w:val="44"/>
        </w:rPr>
        <w:t>名单</w:t>
      </w:r>
    </w:p>
    <w:p>
      <w:pPr>
        <w:spacing w:line="520" w:lineRule="exact"/>
        <w:jc w:val="center"/>
        <w:textAlignment w:val="center"/>
        <w:rPr>
          <w:rFonts w:hint="eastAsia" w:ascii="方正小标宋简体" w:hAnsi="方正小标宋简体" w:eastAsia="方正小标宋简体" w:cs="方正小标宋简体"/>
          <w:b w:val="0"/>
          <w:bCs/>
          <w:sz w:val="44"/>
          <w:szCs w:val="44"/>
        </w:rPr>
      </w:pPr>
    </w:p>
    <w:p>
      <w:pPr>
        <w:spacing w:line="520" w:lineRule="exact"/>
        <w:jc w:val="center"/>
        <w:textAlignment w:val="center"/>
        <w:rPr>
          <w:rFonts w:hint="eastAsia" w:ascii="方正小标宋简体" w:hAnsi="方正小标宋简体" w:eastAsia="方正小标宋简体" w:cs="方正小标宋简体"/>
          <w:b w:val="0"/>
          <w:bCs/>
          <w:sz w:val="44"/>
          <w:szCs w:val="44"/>
          <w:lang w:eastAsia="zh-CN"/>
        </w:rPr>
      </w:pPr>
      <w:r>
        <w:rPr>
          <w:rFonts w:hint="eastAsia" w:ascii="方正黑体_GBK" w:hAnsi="方正黑体_GBK" w:eastAsia="方正黑体_GBK" w:cs="方正黑体_GBK"/>
          <w:b w:val="0"/>
          <w:bCs/>
          <w:sz w:val="32"/>
          <w:szCs w:val="32"/>
          <w:lang w:eastAsia="zh-CN"/>
        </w:rPr>
        <w:t>一、参政党建设类</w:t>
      </w:r>
    </w:p>
    <w:tbl>
      <w:tblPr>
        <w:tblStyle w:val="7"/>
        <w:tblpPr w:leftFromText="180" w:rightFromText="180" w:vertAnchor="text" w:horzAnchor="page" w:tblpX="975" w:tblpY="253"/>
        <w:tblOverlap w:val="never"/>
        <w:tblW w:w="10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9"/>
        <w:gridCol w:w="7566"/>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9" w:type="dxa"/>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课题编号</w:t>
            </w:r>
          </w:p>
        </w:tc>
        <w:tc>
          <w:tcPr>
            <w:tcW w:w="7566" w:type="dxa"/>
            <w:tcBorders>
              <w:right w:val="single" w:color="auto" w:sz="4" w:space="0"/>
            </w:tcBorders>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课题名称</w:t>
            </w:r>
          </w:p>
        </w:tc>
        <w:tc>
          <w:tcPr>
            <w:tcW w:w="1185" w:type="dxa"/>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359" w:type="dxa"/>
            <w:tcBorders>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01</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rPr>
            </w:pPr>
            <w:r>
              <w:rPr>
                <w:rFonts w:hint="eastAsia" w:ascii="宋体" w:hAnsi="宋体" w:eastAsia="宋体" w:cs="Times New Roman"/>
                <w:sz w:val="24"/>
                <w:szCs w:val="24"/>
              </w:rPr>
              <w:t>借鉴历史上两次整风的经验，创新农工党内部监督制度</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sz w:val="24"/>
                <w:szCs w:val="24"/>
                <w:lang w:val="en-US" w:eastAsia="zh-CN"/>
              </w:rPr>
            </w:pPr>
            <w:r>
              <w:rPr>
                <w:rFonts w:hint="eastAsia" w:ascii="宋体" w:hAnsi="宋体" w:eastAsia="宋体" w:cs="Times New Roman"/>
                <w:color w:val="000000" w:themeColor="text1"/>
                <w:sz w:val="24"/>
                <w:szCs w:val="24"/>
                <w14:textFill>
                  <w14:solidFill>
                    <w14:schemeClr w14:val="tx1"/>
                  </w14:solidFill>
                </w14:textFill>
              </w:rPr>
              <w:t>唐文彰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0</w:t>
            </w:r>
            <w:r>
              <w:rPr>
                <w:rFonts w:ascii="宋体" w:hAnsi="宋体" w:eastAsia="宋体" w:cs="Times New Roman"/>
                <w:color w:val="000000"/>
                <w:sz w:val="24"/>
                <w:szCs w:val="24"/>
              </w:rPr>
              <w:t>2</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民主党派内部监督体制机制完善研究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C00000"/>
                <w:sz w:val="24"/>
                <w:szCs w:val="24"/>
                <w:lang w:val="en-US" w:eastAsia="zh-CN"/>
              </w:rPr>
            </w:pPr>
            <w:r>
              <w:rPr>
                <w:rFonts w:hint="eastAsia" w:ascii="宋体" w:hAnsi="宋体" w:eastAsia="宋体" w:cs="Times New Roman"/>
                <w:color w:val="auto"/>
                <w:sz w:val="24"/>
                <w:szCs w:val="24"/>
              </w:rPr>
              <w:t>涂少彬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0</w:t>
            </w:r>
            <w:r>
              <w:rPr>
                <w:rFonts w:ascii="宋体" w:hAnsi="宋体" w:eastAsia="宋体" w:cs="Times New Roman"/>
                <w:color w:val="000000"/>
                <w:sz w:val="24"/>
                <w:szCs w:val="24"/>
              </w:rPr>
              <w:t>3</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 xml:space="preserve">数智技术赋能民主党派内部监督效能提升研究      </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C00000"/>
                <w:sz w:val="24"/>
                <w:szCs w:val="24"/>
                <w:lang w:val="en-US" w:eastAsia="zh-CN"/>
              </w:rPr>
            </w:pPr>
            <w:r>
              <w:rPr>
                <w:rFonts w:hint="eastAsia" w:ascii="宋体" w:hAnsi="宋体" w:eastAsia="宋体" w:cs="Times New Roman"/>
                <w:color w:val="auto"/>
                <w:sz w:val="24"/>
                <w:szCs w:val="24"/>
              </w:rPr>
              <w:t>朱德明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0</w:t>
            </w:r>
            <w:r>
              <w:rPr>
                <w:rFonts w:ascii="宋体" w:hAnsi="宋体" w:eastAsia="宋体" w:cs="Times New Roman"/>
                <w:color w:val="000000"/>
                <w:sz w:val="24"/>
                <w:szCs w:val="24"/>
              </w:rPr>
              <w:t>4</w:t>
            </w:r>
          </w:p>
        </w:tc>
        <w:tc>
          <w:tcPr>
            <w:tcW w:w="75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多党合作文化促进民主党派政治认同的内在逻辑、作用机理与实践路径</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杨  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359" w:type="dxa"/>
            <w:tcBorders>
              <w:top w:val="single" w:color="auto" w:sz="4" w:space="0"/>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0</w:t>
            </w:r>
            <w:r>
              <w:rPr>
                <w:rFonts w:ascii="宋体" w:hAnsi="宋体" w:eastAsia="宋体" w:cs="Times New Roman"/>
                <w:color w:val="000000"/>
                <w:sz w:val="24"/>
                <w:szCs w:val="24"/>
              </w:rPr>
              <w:t>5</w:t>
            </w:r>
          </w:p>
        </w:tc>
        <w:tc>
          <w:tcPr>
            <w:tcW w:w="756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数字技术赋能民主党派内部监督的路径研究</w:t>
            </w:r>
          </w:p>
        </w:tc>
        <w:tc>
          <w:tcPr>
            <w:tcW w:w="118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柏东欣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359" w:type="dxa"/>
            <w:tcBorders>
              <w:top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ascii="宋体" w:hAnsi="宋体" w:eastAsia="宋体" w:cs="Times New Roman"/>
                <w:color w:val="000000"/>
                <w:sz w:val="24"/>
                <w:szCs w:val="24"/>
              </w:rPr>
              <w:t>06</w:t>
            </w:r>
          </w:p>
        </w:tc>
        <w:tc>
          <w:tcPr>
            <w:tcW w:w="756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强化内部监督：促进民主党派自身建设路径研究——基于湖北民主党派的调查</w:t>
            </w:r>
          </w:p>
        </w:tc>
        <w:tc>
          <w:tcPr>
            <w:tcW w:w="118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熊彩云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ascii="宋体" w:hAnsi="宋体" w:eastAsia="宋体" w:cs="Times New Roman"/>
                <w:color w:val="000000"/>
                <w:sz w:val="24"/>
                <w:szCs w:val="24"/>
              </w:rPr>
              <w:t>07</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多党合作文化研究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龚万达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359" w:type="dxa"/>
            <w:tcBorders>
              <w:bottom w:val="single" w:color="auto" w:sz="4" w:space="0"/>
            </w:tcBorders>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ascii="宋体" w:hAnsi="宋体" w:eastAsia="宋体" w:cs="Times New Roman"/>
                <w:color w:val="000000"/>
                <w:sz w:val="24"/>
                <w:szCs w:val="24"/>
              </w:rPr>
              <w:t>08</w:t>
            </w:r>
          </w:p>
        </w:tc>
        <w:tc>
          <w:tcPr>
            <w:tcW w:w="756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民主党派内部监督制度机制研究——以致公党为例</w:t>
            </w:r>
          </w:p>
        </w:tc>
        <w:tc>
          <w:tcPr>
            <w:tcW w:w="11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余秀才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09</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民主党派基层组织内部监督现状研究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容</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10</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 xml:space="preserve">“两个答案”与新时代背景下民主党派自身建设研究 </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李媛媛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11</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民主党派内外监督协同优化的思考</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高  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12</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民主党派内部监督制度机制研究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肖建东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1</w:t>
            </w:r>
            <w:r>
              <w:rPr>
                <w:rFonts w:ascii="宋体" w:hAnsi="宋体" w:eastAsia="宋体" w:cs="Times New Roman"/>
                <w:color w:val="000000"/>
                <w:sz w:val="24"/>
                <w:szCs w:val="24"/>
              </w:rPr>
              <w:t>3</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民主党派内部监督制度机制研究</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蔡国斌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59" w:type="dxa"/>
            <w:vAlign w:val="center"/>
          </w:tcPr>
          <w:p>
            <w:pPr>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rPr>
              <w:t>1</w:t>
            </w:r>
            <w:r>
              <w:rPr>
                <w:rFonts w:ascii="宋体" w:hAnsi="宋体" w:eastAsia="宋体" w:cs="Times New Roman"/>
                <w:color w:val="000000"/>
                <w:sz w:val="24"/>
                <w:szCs w:val="24"/>
              </w:rPr>
              <w:t>4</w:t>
            </w:r>
          </w:p>
        </w:tc>
        <w:tc>
          <w:tcPr>
            <w:tcW w:w="756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center"/>
              <w:rPr>
                <w:rFonts w:hint="eastAsia" w:ascii="宋体" w:hAnsi="宋体" w:eastAsia="宋体" w:cs="Times New Roman"/>
                <w:sz w:val="24"/>
                <w:szCs w:val="24"/>
              </w:rPr>
            </w:pPr>
            <w:r>
              <w:rPr>
                <w:rFonts w:hint="eastAsia" w:ascii="宋体" w:hAnsi="宋体" w:eastAsia="宋体" w:cs="Times New Roman"/>
                <w:sz w:val="24"/>
                <w:szCs w:val="24"/>
              </w:rPr>
              <w:t>民主党派提升内部监督效能的路径研究——基于农工党湖北省委会内部监督工作实践与创新</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刘  弥</w:t>
            </w:r>
          </w:p>
        </w:tc>
      </w:tr>
    </w:tbl>
    <w:p>
      <w:pPr>
        <w:spacing w:line="320" w:lineRule="exact"/>
        <w:jc w:val="both"/>
        <w:textAlignment w:val="center"/>
        <w:rPr>
          <w:rFonts w:ascii="宋体" w:hAnsi="宋体" w:eastAsia="宋体" w:cs="Times New Roman"/>
          <w:b/>
          <w:sz w:val="30"/>
          <w:szCs w:val="30"/>
        </w:rPr>
      </w:pPr>
    </w:p>
    <w:p>
      <w:pPr>
        <w:rPr>
          <w:rFonts w:hint="eastAsia"/>
          <w:lang w:eastAsia="zh-CN"/>
        </w:rPr>
      </w:pPr>
    </w:p>
    <w:p>
      <w:pPr>
        <w:spacing w:line="520" w:lineRule="exact"/>
        <w:jc w:val="center"/>
        <w:textAlignment w:val="center"/>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二、市州社院类</w:t>
      </w:r>
    </w:p>
    <w:tbl>
      <w:tblPr>
        <w:tblStyle w:val="7"/>
        <w:tblpPr w:leftFromText="180" w:rightFromText="180" w:vertAnchor="text" w:horzAnchor="page" w:tblpX="1195" w:tblpY="160"/>
        <w:tblOverlap w:val="never"/>
        <w:tblW w:w="98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7035"/>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0" w:type="dxa"/>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课题编号</w:t>
            </w:r>
          </w:p>
        </w:tc>
        <w:tc>
          <w:tcPr>
            <w:tcW w:w="7035" w:type="dxa"/>
            <w:tcBorders>
              <w:right w:val="single" w:color="auto" w:sz="4" w:space="0"/>
            </w:tcBorders>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课题名称</w:t>
            </w:r>
          </w:p>
        </w:tc>
        <w:tc>
          <w:tcPr>
            <w:tcW w:w="1260" w:type="dxa"/>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530" w:type="dxa"/>
            <w:tcBorders>
              <w:bottom w:val="single" w:color="auto" w:sz="4" w:space="0"/>
            </w:tcBorders>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15</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荆楚文化符号谱系构建中的武当元素创新转化研究——以统一战线增进港澳台同胞文化认同</w:t>
            </w:r>
            <w:bookmarkStart w:id="0" w:name="_GoBack"/>
            <w:bookmarkEnd w:id="0"/>
            <w:r>
              <w:rPr>
                <w:rFonts w:hint="eastAsia" w:ascii="宋体" w:hAnsi="宋体" w:eastAsia="宋体" w:cs="Times New Roman"/>
                <w:color w:val="000000"/>
                <w:sz w:val="24"/>
                <w:szCs w:val="24"/>
                <w:lang w:eastAsia="zh-CN"/>
              </w:rPr>
              <w:t>为例</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C00000"/>
                <w:sz w:val="24"/>
                <w:szCs w:val="24"/>
                <w:lang w:val="en-US" w:eastAsia="zh-CN"/>
              </w:rPr>
            </w:pPr>
            <w:r>
              <w:rPr>
                <w:rFonts w:hint="eastAsia" w:ascii="宋体" w:hAnsi="宋体" w:eastAsia="宋体" w:cs="Times New Roman"/>
                <w:color w:val="auto"/>
                <w:sz w:val="24"/>
                <w:szCs w:val="24"/>
                <w:lang w:eastAsia="zh-CN"/>
              </w:rPr>
              <w:t>赵  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530"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16</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中部崛起战略驱动下湖北统一战线嵌入区域协调发展的机制创新与实践探索</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张  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530"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17</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破解“清而不亲”难题：黄石市亲清政商关系建设经验启示与优化路径研究</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吴茂朝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530"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18</w:t>
            </w:r>
          </w:p>
        </w:tc>
        <w:tc>
          <w:tcPr>
            <w:tcW w:w="703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外交叙事学视域下湖北故事的对外传播机制研究</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pacing w:val="-6"/>
                <w:sz w:val="24"/>
                <w:szCs w:val="24"/>
                <w:lang w:eastAsia="zh-CN"/>
                <w14:textFill>
                  <w14:solidFill>
                    <w14:schemeClr w14:val="tx1"/>
                  </w14:solidFill>
                </w14:textFill>
              </w:rPr>
              <w:t>吴雨潇潇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530"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19</w:t>
            </w:r>
          </w:p>
        </w:tc>
        <w:tc>
          <w:tcPr>
            <w:tcW w:w="703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加强新的社会阶层人士政治引领的现实挑战与优化路径研究</w:t>
            </w:r>
          </w:p>
        </w:tc>
        <w:tc>
          <w:tcPr>
            <w:tcW w:w="126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姚  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530" w:type="dxa"/>
            <w:tcBorders>
              <w:top w:val="single" w:color="auto" w:sz="4" w:space="0"/>
            </w:tcBorders>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20</w:t>
            </w:r>
          </w:p>
        </w:tc>
        <w:tc>
          <w:tcPr>
            <w:tcW w:w="703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统一战线助力文化产业发展研究——以武汉市文化统战工作为例</w:t>
            </w:r>
          </w:p>
        </w:tc>
        <w:tc>
          <w:tcPr>
            <w:tcW w:w="126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梁海涛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530" w:type="dxa"/>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21</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统一战线视域下湖北战略支点建设的文化认同机制研究——荆楚文化谱系重构与共同体形塑</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杨紫嫣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530" w:type="dxa"/>
            <w:tcBorders>
              <w:bottom w:val="single" w:color="auto" w:sz="4" w:space="0"/>
            </w:tcBorders>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22</w:t>
            </w:r>
          </w:p>
        </w:tc>
        <w:tc>
          <w:tcPr>
            <w:tcW w:w="703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数字技术赋能统一战线工作研究</w:t>
            </w:r>
          </w:p>
        </w:tc>
        <w:tc>
          <w:tcPr>
            <w:tcW w:w="126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王  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30" w:type="dxa"/>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23</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新发展格局视域下文化统战工作服务区域经济高质量发展研究——以湖北省文化创新战略助力支点建设研究为例</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廖咏絮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530" w:type="dxa"/>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24</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康养旅游促“三交”：恩施州“候鸟人群”民族互嵌式社区研究</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胡兆凌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530" w:type="dxa"/>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25</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网络统战工作助力湖北支点建设对策研究</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袁海霞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30" w:type="dxa"/>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26</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文化强国视域下炎帝文化促进两岸文化认同的作用及路径研究</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auto"/>
                <w:sz w:val="24"/>
                <w:szCs w:val="24"/>
                <w:lang w:eastAsia="zh-CN"/>
              </w:rPr>
              <w:t>周黎岩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30" w:type="dxa"/>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27</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从史前文明到城市标识：遗址文化元素的在地化转译路径研究——以长江中游屈家岭文化为例</w:t>
            </w:r>
          </w:p>
        </w:tc>
        <w:tc>
          <w:tcPr>
            <w:tcW w:w="1260" w:type="dxa"/>
            <w:vAlign w:val="center"/>
          </w:tcPr>
          <w:p>
            <w:pPr>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赵  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530" w:type="dxa"/>
            <w:vAlign w:val="center"/>
          </w:tcPr>
          <w:p>
            <w:pPr>
              <w:jc w:val="center"/>
              <w:textAlignment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28</w:t>
            </w:r>
          </w:p>
        </w:tc>
        <w:tc>
          <w:tcPr>
            <w:tcW w:w="70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红色歌曲推动统战思想多渠道对外传播研究——基于湘鄂西洪湖苏区红色歌曲的研究</w:t>
            </w:r>
          </w:p>
        </w:tc>
        <w:tc>
          <w:tcPr>
            <w:tcW w:w="1260" w:type="dxa"/>
            <w:vAlign w:val="center"/>
          </w:tcPr>
          <w:p>
            <w:pPr>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彭春兰</w:t>
            </w:r>
          </w:p>
        </w:tc>
      </w:tr>
    </w:tbl>
    <w:p>
      <w:pPr>
        <w:numPr>
          <w:ilvl w:val="0"/>
          <w:numId w:val="0"/>
        </w:numPr>
        <w:rPr>
          <w:rFonts w:hint="eastAsia"/>
          <w:lang w:eastAsia="zh-CN"/>
        </w:rPr>
      </w:pPr>
    </w:p>
    <w:p>
      <w:pPr>
        <w:numPr>
          <w:ilvl w:val="0"/>
          <w:numId w:val="0"/>
        </w:numPr>
        <w:rPr>
          <w:rFonts w:hint="eastAsia"/>
          <w:lang w:eastAsia="zh-CN"/>
        </w:rPr>
      </w:pPr>
    </w:p>
    <w:p>
      <w:pPr>
        <w:spacing w:line="520" w:lineRule="exact"/>
        <w:jc w:val="center"/>
        <w:textAlignment w:val="center"/>
        <w:rPr>
          <w:rFonts w:hint="eastAsia" w:ascii="方正黑体_GBK" w:hAnsi="方正黑体_GBK" w:eastAsia="方正黑体_GBK" w:cs="方正黑体_GBK"/>
          <w:b w:val="0"/>
          <w:bCs/>
          <w:sz w:val="32"/>
          <w:szCs w:val="32"/>
          <w:lang w:eastAsia="zh-CN"/>
        </w:rPr>
      </w:pPr>
    </w:p>
    <w:p>
      <w:pPr>
        <w:spacing w:line="520" w:lineRule="exact"/>
        <w:jc w:val="center"/>
        <w:textAlignment w:val="center"/>
        <w:rPr>
          <w:rFonts w:hint="eastAsia" w:ascii="方正黑体_GBK" w:hAnsi="方正黑体_GBK" w:eastAsia="方正黑体_GBK" w:cs="方正黑体_GBK"/>
          <w:b w:val="0"/>
          <w:bCs/>
          <w:sz w:val="32"/>
          <w:szCs w:val="32"/>
          <w:lang w:eastAsia="zh-CN"/>
        </w:rPr>
      </w:pPr>
    </w:p>
    <w:p>
      <w:pPr>
        <w:spacing w:line="520" w:lineRule="exact"/>
        <w:jc w:val="center"/>
        <w:textAlignment w:val="center"/>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三、其他综合类</w:t>
      </w:r>
    </w:p>
    <w:tbl>
      <w:tblPr>
        <w:tblStyle w:val="7"/>
        <w:tblpPr w:leftFromText="180" w:rightFromText="180" w:vertAnchor="text" w:horzAnchor="page" w:tblpX="1270" w:tblpY="337"/>
        <w:tblOverlap w:val="never"/>
        <w:tblW w:w="98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5"/>
        <w:gridCol w:w="7050"/>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5" w:type="dxa"/>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课题编号</w:t>
            </w:r>
          </w:p>
        </w:tc>
        <w:tc>
          <w:tcPr>
            <w:tcW w:w="7050" w:type="dxa"/>
            <w:tcBorders>
              <w:right w:val="single" w:color="auto" w:sz="4" w:space="0"/>
            </w:tcBorders>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课题名称</w:t>
            </w:r>
          </w:p>
        </w:tc>
        <w:tc>
          <w:tcPr>
            <w:tcW w:w="1320" w:type="dxa"/>
            <w:vAlign w:val="center"/>
          </w:tcPr>
          <w:p>
            <w:pPr>
              <w:jc w:val="center"/>
              <w:textAlignment w:val="center"/>
              <w:rPr>
                <w:rFonts w:ascii="宋体" w:hAnsi="宋体" w:eastAsia="宋体" w:cs="Times New Roman"/>
                <w:b/>
                <w:sz w:val="28"/>
                <w:szCs w:val="28"/>
              </w:rPr>
            </w:pPr>
            <w:r>
              <w:rPr>
                <w:rFonts w:hint="eastAsia" w:ascii="宋体" w:hAnsi="宋体" w:eastAsia="宋体" w:cs="Times New Roman"/>
                <w:b/>
                <w:sz w:val="28"/>
                <w:szCs w:val="28"/>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455" w:type="dxa"/>
            <w:tcBorders>
              <w:bottom w:val="single" w:color="auto" w:sz="4" w:space="0"/>
            </w:tcBorders>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29</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落实统战工作责任制与完善新时代大统战工作格局研究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周  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455"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30</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党外知识分子和新的社会阶层人士助力新质生产力发展研究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唐尚书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455"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31</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中国共产党关于时局的主张与统一战线演进的历史研究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董树婷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455"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32</w:t>
            </w:r>
          </w:p>
        </w:tc>
        <w:tc>
          <w:tcPr>
            <w:tcW w:w="70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党委（党组）统战工作责任制的构成要件与实现路径研究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沈孝鹏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455" w:type="dxa"/>
            <w:tcBorders>
              <w:top w:val="single" w:color="auto" w:sz="4" w:space="0"/>
              <w:bottom w:val="single" w:color="auto" w:sz="4" w:space="0"/>
            </w:tcBorders>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33</w:t>
            </w:r>
          </w:p>
        </w:tc>
        <w:tc>
          <w:tcPr>
            <w:tcW w:w="70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完善大统战工作格局的发展方向与实践要求</w:t>
            </w:r>
          </w:p>
        </w:tc>
        <w:tc>
          <w:tcPr>
            <w:tcW w:w="13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李  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455" w:type="dxa"/>
            <w:tcBorders>
              <w:top w:val="single" w:color="auto" w:sz="4" w:space="0"/>
            </w:tcBorders>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34</w:t>
            </w:r>
          </w:p>
        </w:tc>
        <w:tc>
          <w:tcPr>
            <w:tcW w:w="705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数智时代统一战线的发展趋势、风险挑战与应对策略研究</w:t>
            </w:r>
          </w:p>
        </w:tc>
        <w:tc>
          <w:tcPr>
            <w:tcW w:w="132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李  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35</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数智时代统一战线工作的机遇、挑战与对策研究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王  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455" w:type="dxa"/>
            <w:tcBorders>
              <w:bottom w:val="single" w:color="auto" w:sz="4" w:space="0"/>
            </w:tcBorders>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36</w:t>
            </w:r>
          </w:p>
        </w:tc>
        <w:tc>
          <w:tcPr>
            <w:tcW w:w="70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数智时代统一战线机遇挑战与对策建议研究</w:t>
            </w:r>
          </w:p>
        </w:tc>
        <w:tc>
          <w:tcPr>
            <w:tcW w:w="13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李艳丽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37</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统战视角下湖北民营企业发展环境优化与“两个健康”推进策略研究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耿  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38</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中华优秀传统文化中的统战智慧：思想和策略</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张羽欣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49</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完善大统战工作格局的制度机制建设研究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念兴昌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40</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引进出国留学人员助力新质生产力发展研究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陈瑞娟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41</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数智时代统一战线机遇挑战与对策建议研究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彭庆军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42</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数智时代统一战线话语体系建构与实践路径研究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杜晓东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43</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价值共创目标导向下民营经济统战工作研究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程  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44</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优化湖北民营企业发展法治环境研究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袁  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45</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网络统战视域下社会组织从业人员思想政治引领研究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szCs w:val="24"/>
                <w:lang w:eastAsia="zh-CN"/>
              </w:rPr>
              <w:t>王娜娜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46</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val="en-US" w:eastAsia="zh-CN"/>
              </w:rPr>
              <w:t>数智化赋能统一战线：机遇挑战、运行机理与应对策略</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szCs w:val="24"/>
                <w:lang w:val="en-US" w:eastAsia="zh-CN"/>
              </w:rPr>
              <w:t>康家玮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47</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讲好湖北故事，构建多渠道立体式对外传播格局研究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szCs w:val="24"/>
                <w:lang w:eastAsia="zh-CN"/>
              </w:rPr>
              <w:t>罗  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48</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讲好湖北故事，推动构建多渠道立体式对外传播格局研究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杨中艳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49</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统战视域下中华优秀传统文化的共识凝聚、话语建构和传播创新研究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权宗田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50</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讲好湖北故事的内容定位与实践路径研究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文红玉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51</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荆楚文化与新时代湖北统一战线工作研究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王光艳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55" w:type="dxa"/>
            <w:vAlign w:val="center"/>
          </w:tcPr>
          <w:p>
            <w:pPr>
              <w:jc w:val="center"/>
              <w:textAlignment w:val="cente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sz w:val="24"/>
                <w:szCs w:val="24"/>
                <w:lang w:eastAsia="zh-CN"/>
              </w:rPr>
              <w:t>ET2025</w:t>
            </w:r>
            <w:r>
              <w:rPr>
                <w:rFonts w:hint="eastAsia" w:ascii="宋体" w:hAnsi="宋体" w:eastAsia="宋体" w:cs="Times New Roman"/>
                <w:color w:val="000000"/>
                <w:sz w:val="24"/>
                <w:szCs w:val="24"/>
                <w:lang w:val="en-US" w:eastAsia="zh-CN"/>
              </w:rPr>
              <w:t>52</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坚持“两个结合”，打造湖北文化标识，助力支点建设研究</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操玲姣</w:t>
            </w:r>
          </w:p>
        </w:tc>
      </w:tr>
    </w:tbl>
    <w:p>
      <w:pPr>
        <w:spacing w:line="520" w:lineRule="exact"/>
        <w:jc w:val="center"/>
        <w:textAlignment w:val="center"/>
        <w:rPr>
          <w:rFonts w:hint="eastAsia" w:ascii="方正小标宋简体" w:hAnsi="方正小标宋简体" w:eastAsia="方正小标宋简体" w:cs="方正小标宋简体"/>
          <w:b w:val="0"/>
          <w:bCs/>
          <w:sz w:val="44"/>
          <w:szCs w:val="44"/>
          <w:lang w:eastAsia="zh-CN"/>
        </w:rPr>
      </w:pPr>
    </w:p>
    <w:p>
      <w:pPr>
        <w:numPr>
          <w:ilvl w:val="0"/>
          <w:numId w:val="0"/>
        </w:num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40EB"/>
    <w:rsid w:val="000F675E"/>
    <w:rsid w:val="00164511"/>
    <w:rsid w:val="00186193"/>
    <w:rsid w:val="001E4730"/>
    <w:rsid w:val="003310EC"/>
    <w:rsid w:val="00345A75"/>
    <w:rsid w:val="003B2F0E"/>
    <w:rsid w:val="005C0253"/>
    <w:rsid w:val="0066544E"/>
    <w:rsid w:val="006B346C"/>
    <w:rsid w:val="006C043A"/>
    <w:rsid w:val="008813AC"/>
    <w:rsid w:val="009017E5"/>
    <w:rsid w:val="00901909"/>
    <w:rsid w:val="009A367A"/>
    <w:rsid w:val="009E6CD8"/>
    <w:rsid w:val="00A35009"/>
    <w:rsid w:val="00B4357A"/>
    <w:rsid w:val="00D94C28"/>
    <w:rsid w:val="00DD6A3F"/>
    <w:rsid w:val="00E25795"/>
    <w:rsid w:val="00E37C24"/>
    <w:rsid w:val="00E52F81"/>
    <w:rsid w:val="00E845A3"/>
    <w:rsid w:val="00E97BCA"/>
    <w:rsid w:val="00EF3CD2"/>
    <w:rsid w:val="00F43F76"/>
    <w:rsid w:val="00F45833"/>
    <w:rsid w:val="0B7F877C"/>
    <w:rsid w:val="0DAB821A"/>
    <w:rsid w:val="1BFB00B7"/>
    <w:rsid w:val="1F074E51"/>
    <w:rsid w:val="2FD71E76"/>
    <w:rsid w:val="2FDADBCC"/>
    <w:rsid w:val="31C9B67C"/>
    <w:rsid w:val="354E98E5"/>
    <w:rsid w:val="37DF2508"/>
    <w:rsid w:val="3B7FB1D1"/>
    <w:rsid w:val="3E3992D3"/>
    <w:rsid w:val="3F7FE90A"/>
    <w:rsid w:val="3F7FFC10"/>
    <w:rsid w:val="3FBC0792"/>
    <w:rsid w:val="3FBF0B0F"/>
    <w:rsid w:val="3FCF0752"/>
    <w:rsid w:val="4B991663"/>
    <w:rsid w:val="4BBEB541"/>
    <w:rsid w:val="4BFF9765"/>
    <w:rsid w:val="4FFB5AF2"/>
    <w:rsid w:val="53FD7B68"/>
    <w:rsid w:val="53FFD0DB"/>
    <w:rsid w:val="56ED48CD"/>
    <w:rsid w:val="577D3E30"/>
    <w:rsid w:val="577FA426"/>
    <w:rsid w:val="57DB0516"/>
    <w:rsid w:val="57FB0762"/>
    <w:rsid w:val="57FF9981"/>
    <w:rsid w:val="596B1587"/>
    <w:rsid w:val="59F44FAB"/>
    <w:rsid w:val="5CFF4F32"/>
    <w:rsid w:val="5FE7E088"/>
    <w:rsid w:val="5FFB8174"/>
    <w:rsid w:val="5FFEC27B"/>
    <w:rsid w:val="65DF98D2"/>
    <w:rsid w:val="681AA8AA"/>
    <w:rsid w:val="6DAF9761"/>
    <w:rsid w:val="6F2FB6D6"/>
    <w:rsid w:val="6F7D0A8C"/>
    <w:rsid w:val="6FEEEE89"/>
    <w:rsid w:val="6FF3E246"/>
    <w:rsid w:val="6FFC424B"/>
    <w:rsid w:val="6FFE6CB9"/>
    <w:rsid w:val="716EF6EA"/>
    <w:rsid w:val="71ED0ABA"/>
    <w:rsid w:val="71FF8047"/>
    <w:rsid w:val="726D83C2"/>
    <w:rsid w:val="72F6D4B4"/>
    <w:rsid w:val="73D7B30B"/>
    <w:rsid w:val="75B7E615"/>
    <w:rsid w:val="76AF838A"/>
    <w:rsid w:val="76FC2535"/>
    <w:rsid w:val="76FFD88D"/>
    <w:rsid w:val="7731CEC0"/>
    <w:rsid w:val="7761BFC0"/>
    <w:rsid w:val="777A9DD7"/>
    <w:rsid w:val="77EFA614"/>
    <w:rsid w:val="77FF2263"/>
    <w:rsid w:val="7C7F1D15"/>
    <w:rsid w:val="7DFFBDED"/>
    <w:rsid w:val="7DFFF251"/>
    <w:rsid w:val="7E7E755E"/>
    <w:rsid w:val="7EDFAD16"/>
    <w:rsid w:val="7FDC85E5"/>
    <w:rsid w:val="7FDD1779"/>
    <w:rsid w:val="7FDFE8DB"/>
    <w:rsid w:val="7FE9D4AC"/>
    <w:rsid w:val="7FF381BD"/>
    <w:rsid w:val="7FFBC8B0"/>
    <w:rsid w:val="7FFF5F61"/>
    <w:rsid w:val="7FFF9123"/>
    <w:rsid w:val="86FFC9B4"/>
    <w:rsid w:val="973F9286"/>
    <w:rsid w:val="99AF10BB"/>
    <w:rsid w:val="9F5F22BE"/>
    <w:rsid w:val="9F7FAEEC"/>
    <w:rsid w:val="9FEFD538"/>
    <w:rsid w:val="A3A6DF19"/>
    <w:rsid w:val="A7BFAB96"/>
    <w:rsid w:val="AD5ED0BD"/>
    <w:rsid w:val="ADBF6CD0"/>
    <w:rsid w:val="B1186CAB"/>
    <w:rsid w:val="B1EB784A"/>
    <w:rsid w:val="B6FF291A"/>
    <w:rsid w:val="BAAD4C1D"/>
    <w:rsid w:val="BAFF0418"/>
    <w:rsid w:val="BD7D2D8D"/>
    <w:rsid w:val="BD7F2003"/>
    <w:rsid w:val="BDF96428"/>
    <w:rsid w:val="BDFC199F"/>
    <w:rsid w:val="BE7B0DE5"/>
    <w:rsid w:val="BECF421B"/>
    <w:rsid w:val="BF6F3ACB"/>
    <w:rsid w:val="BFFF7EE8"/>
    <w:rsid w:val="CEB61D88"/>
    <w:rsid w:val="CF9C6B88"/>
    <w:rsid w:val="CFEDFF00"/>
    <w:rsid w:val="D7FFBF61"/>
    <w:rsid w:val="DB7F2D5A"/>
    <w:rsid w:val="DBB25D59"/>
    <w:rsid w:val="DBFCF782"/>
    <w:rsid w:val="DD76A467"/>
    <w:rsid w:val="DDDFFFEA"/>
    <w:rsid w:val="DDEF71B0"/>
    <w:rsid w:val="DFAF3C8F"/>
    <w:rsid w:val="DFC33D2C"/>
    <w:rsid w:val="E78E27BF"/>
    <w:rsid w:val="E7BF8B56"/>
    <w:rsid w:val="EBEBC4D2"/>
    <w:rsid w:val="EBFFE8E5"/>
    <w:rsid w:val="EEFBF219"/>
    <w:rsid w:val="EFB739C4"/>
    <w:rsid w:val="EFED0431"/>
    <w:rsid w:val="EFFFB32C"/>
    <w:rsid w:val="F5FC005B"/>
    <w:rsid w:val="F67FAFEE"/>
    <w:rsid w:val="F6EB2380"/>
    <w:rsid w:val="F6EF60D4"/>
    <w:rsid w:val="F76B4D22"/>
    <w:rsid w:val="F7AFC496"/>
    <w:rsid w:val="F7D1751C"/>
    <w:rsid w:val="FAF637A2"/>
    <w:rsid w:val="FBBF3953"/>
    <w:rsid w:val="FBDB2490"/>
    <w:rsid w:val="FBDB3225"/>
    <w:rsid w:val="FBEDD0FB"/>
    <w:rsid w:val="FBFC20BA"/>
    <w:rsid w:val="FBFC58BA"/>
    <w:rsid w:val="FC7D322E"/>
    <w:rsid w:val="FCB9B22A"/>
    <w:rsid w:val="FD9DA069"/>
    <w:rsid w:val="FDBFB54A"/>
    <w:rsid w:val="FDBFFAF3"/>
    <w:rsid w:val="FDE7556E"/>
    <w:rsid w:val="FE1DDD42"/>
    <w:rsid w:val="FEE5BDE1"/>
    <w:rsid w:val="FEF98977"/>
    <w:rsid w:val="FEFCA2C3"/>
    <w:rsid w:val="FEFFCAA6"/>
    <w:rsid w:val="FF2F223D"/>
    <w:rsid w:val="FFDDC35B"/>
    <w:rsid w:val="FFDEB7D6"/>
    <w:rsid w:val="FFDF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188</Words>
  <Characters>1073</Characters>
  <Lines>8</Lines>
  <Paragraphs>2</Paragraphs>
  <TotalTime>10</TotalTime>
  <ScaleCrop>false</ScaleCrop>
  <LinksUpToDate>false</LinksUpToDate>
  <CharactersWithSpaces>1259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2020-07-15T18:09:00Z</dcterms:created>
  <dc:creator>赵书第</dc:creator>
  <cp:lastModifiedBy>zhou</cp:lastModifiedBy>
  <cp:lastPrinted>2025-06-17T03:54:00Z</cp:lastPrinted>
  <dcterms:modified xsi:type="dcterms:W3CDTF">2025-06-16T12:43:10Z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E3A8D73DF98DD22B74974F687290F9FC</vt:lpwstr>
  </property>
</Properties>
</file>